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30/65-2026-036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Neubau Grundschule Grebben/Aufzugsanlage</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Das 2-geschossige Gebäudetragwerk wird in Stahlbeton geplant. Die
innenliegenden Flurwände werden in Sichtbeton hergestellt. Die vertikalen
Lasten werden im Wesentlichen ohne Abfangkonstruktionen in die
Gründungsbauteile eingeleitet. Sämtliche Treppenhäuser und
Erschließungsschächte werden als gebäudeaussteifende Kerne in
Massivbauweise geplant. Über die Deckenscheiben werden die
Horizontallasten geschossweise in die Wandscheiben weitergeleitet. Der
große Mensabereich kann ohne Unterzüge realisiert werden, die
Geschossdecke wird über Rundstützen im EG und dem wandartigen Träger
im OG abgefangen.
Bauabschnitte
Die Umsetzung erfolgt in 2 Bauabschnitten. Der Neubau wird auf dem
nördlichen Grundstücksteil erstellt. Während der Bauphase wird das südliche
Grundstücksteil mit dem Bestandgebäude durch einen Bauzaun abgetrennt.
Die Zugänge zur Bestandsschule und der Sporthalle sind frei zugänglich.
Nach Fertigstellung des Neubaus erfolgt der Abriss des Bestandsgebäudes
und die Ergänzung der südlichen Freiflächen.
Kennzahlen
BGF Bruttogeschossfläche: ca. 3.541m2
BRI Bruttorauminhalt: ca. 15.639m3</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